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b w:val="1"/>
          <w:sz w:val="24"/>
        </w:rPr>
      </w:pPr>
      <w:r>
        <w:rPr>
          <w:rFonts w:hint="eastAsia"/>
          <w:b w:val="1"/>
          <w:sz w:val="24"/>
        </w:rPr>
        <w:t>使用済</w:t>
      </w:r>
      <w:r>
        <w:rPr>
          <w:rFonts w:hint="eastAsia"/>
          <w:b w:val="1"/>
          <w:sz w:val="24"/>
        </w:rPr>
        <w:t>G</w:t>
      </w:r>
      <w:r>
        <w:rPr>
          <w:rFonts w:hint="default"/>
          <w:b w:val="1"/>
          <w:sz w:val="24"/>
        </w:rPr>
        <w:t>IGA</w:t>
      </w:r>
      <w:r>
        <w:rPr>
          <w:rFonts w:hint="eastAsia"/>
          <w:b w:val="1"/>
          <w:sz w:val="24"/>
        </w:rPr>
        <w:t>スクール端末等の売払処分業務仕様書</w:t>
      </w:r>
    </w:p>
    <w:p>
      <w:pPr>
        <w:pStyle w:val="0"/>
        <w:jc w:val="right"/>
        <w:rPr>
          <w:rFonts w:hint="default"/>
        </w:rPr>
      </w:pPr>
    </w:p>
    <w:p>
      <w:pPr>
        <w:pStyle w:val="0"/>
        <w:rPr>
          <w:rFonts w:hint="default"/>
        </w:rPr>
      </w:pPr>
      <w:r>
        <w:rPr>
          <w:rFonts w:hint="eastAsia"/>
        </w:rPr>
        <w:t>１．目的</w:t>
      </w:r>
    </w:p>
    <w:p>
      <w:pPr>
        <w:pStyle w:val="0"/>
        <w:ind w:left="283" w:leftChars="135" w:firstLine="210" w:firstLineChars="100"/>
        <w:rPr>
          <w:rFonts w:hint="default"/>
        </w:rPr>
      </w:pPr>
      <w:r>
        <w:rPr>
          <w:rFonts w:hint="eastAsia"/>
        </w:rPr>
        <w:t>GIGA</w:t>
      </w:r>
      <w:r>
        <w:rPr>
          <w:rFonts w:hint="eastAsia"/>
        </w:rPr>
        <w:t>スクール構想により整備した使用済端末（以下「</w:t>
      </w:r>
      <w:r>
        <w:rPr>
          <w:rFonts w:hint="eastAsia"/>
        </w:rPr>
        <w:t>GIGA</w:t>
      </w:r>
      <w:r>
        <w:rPr>
          <w:rFonts w:hint="eastAsia"/>
        </w:rPr>
        <w:t>スクール端末」という。）には、児童生徒個人に紐づくデータが記録されていることから、適切な消去が必要である。また、端末に含まれる金属資源の有効活用の観点から、再使用又は再資源化による適正な処分が求められている。本業務は、文部科学省・経済産業省・環境省が示す処分方針（令和</w:t>
      </w:r>
      <w:r>
        <w:rPr>
          <w:rFonts w:hint="eastAsia"/>
        </w:rPr>
        <w:t>5</w:t>
      </w:r>
      <w:r>
        <w:rPr>
          <w:rFonts w:hint="eastAsia"/>
        </w:rPr>
        <w:t>年</w:t>
      </w:r>
      <w:r>
        <w:rPr>
          <w:rFonts w:hint="eastAsia"/>
        </w:rPr>
        <w:t>10</w:t>
      </w:r>
      <w:r>
        <w:rPr>
          <w:rFonts w:hint="eastAsia"/>
        </w:rPr>
        <w:t>月</w:t>
      </w:r>
      <w:r>
        <w:rPr>
          <w:rFonts w:hint="eastAsia"/>
        </w:rPr>
        <w:t>26</w:t>
      </w:r>
      <w:r>
        <w:rPr>
          <w:rFonts w:hint="eastAsia"/>
        </w:rPr>
        <w:t>日付事務連絡「</w:t>
      </w:r>
      <w:r>
        <w:rPr>
          <w:rFonts w:hint="eastAsia"/>
        </w:rPr>
        <w:t>GIGA</w:t>
      </w:r>
      <w:r>
        <w:rPr>
          <w:rFonts w:hint="eastAsia"/>
        </w:rPr>
        <w:t>スクール構想の下で整備された１人１台端末等の適切な処分（再使用又は再資源</w:t>
      </w:r>
      <w:bookmarkStart w:id="0" w:name="_GoBack"/>
      <w:bookmarkEnd w:id="0"/>
      <w:r>
        <w:rPr>
          <w:rFonts w:hint="eastAsia"/>
        </w:rPr>
        <w:t>化）等について」）に沿って、これを適切に実施することを目的とする。</w:t>
      </w:r>
    </w:p>
    <w:p>
      <w:pPr>
        <w:pStyle w:val="0"/>
        <w:ind w:left="283" w:leftChars="135"/>
        <w:rPr>
          <w:rFonts w:hint="default"/>
        </w:rPr>
      </w:pPr>
    </w:p>
    <w:p>
      <w:pPr>
        <w:pStyle w:val="0"/>
        <w:rPr>
          <w:rFonts w:hint="default"/>
        </w:rPr>
      </w:pPr>
      <w:r>
        <w:rPr>
          <w:rFonts w:hint="eastAsia"/>
        </w:rPr>
        <w:t>２．参加資格</w:t>
      </w:r>
    </w:p>
    <w:p>
      <w:pPr>
        <w:pStyle w:val="15"/>
        <w:numPr>
          <w:ilvl w:val="0"/>
          <w:numId w:val="1"/>
        </w:numPr>
        <w:ind w:leftChars="0"/>
        <w:rPr>
          <w:rFonts w:hint="default"/>
        </w:rPr>
      </w:pPr>
      <w:r>
        <w:rPr>
          <w:rFonts w:hint="eastAsia"/>
        </w:rPr>
        <w:t>落札者（以下、「乙」という。）は、使用済小型電子機器等の再資源化の促進に関する法律（平成</w:t>
      </w:r>
      <w:r>
        <w:rPr>
          <w:rFonts w:hint="eastAsia"/>
        </w:rPr>
        <w:t>24</w:t>
      </w:r>
      <w:r>
        <w:rPr>
          <w:rFonts w:hint="eastAsia"/>
        </w:rPr>
        <w:t>年法律第</w:t>
      </w:r>
      <w:r>
        <w:rPr>
          <w:rFonts w:hint="eastAsia"/>
        </w:rPr>
        <w:t>57</w:t>
      </w:r>
      <w:r>
        <w:rPr>
          <w:rFonts w:hint="eastAsia"/>
        </w:rPr>
        <w:t>号。以下、「小型家電リサイクル法」という。）第</w:t>
      </w:r>
      <w:r>
        <w:rPr>
          <w:rFonts w:hint="eastAsia"/>
        </w:rPr>
        <w:t>10</w:t>
      </w:r>
      <w:r>
        <w:rPr>
          <w:rFonts w:hint="eastAsia"/>
        </w:rPr>
        <w:t>条第３項の認定を受けていること、又は同法の趣旨に沿って再資源化業務を適正に行う体制を有する事業者であること。なお、入札時・契約時には認定を受けていることを証明する書類（認定証等）を提出すること。</w:t>
      </w:r>
    </w:p>
    <w:p>
      <w:pPr>
        <w:pStyle w:val="15"/>
        <w:numPr>
          <w:ilvl w:val="0"/>
          <w:numId w:val="1"/>
        </w:numPr>
        <w:ind w:leftChars="0"/>
        <w:rPr>
          <w:rFonts w:hint="default"/>
        </w:rPr>
      </w:pPr>
      <w:r>
        <w:rPr>
          <w:rFonts w:hint="eastAsia"/>
        </w:rPr>
        <w:t>GIGA</w:t>
      </w:r>
      <w:r>
        <w:rPr>
          <w:rFonts w:hint="eastAsia"/>
        </w:rPr>
        <w:t>スクール端末が情報機器である性質を踏まえ、乙は中古電子機器（パソコン・タブレット等）の買受け、再販売又は適正処分の実績を有していること。なお、入札時には業務経歴書（様式第</w:t>
      </w:r>
      <w:r>
        <w:rPr>
          <w:rFonts w:hint="eastAsia"/>
        </w:rPr>
        <w:t>5</w:t>
      </w:r>
      <w:r>
        <w:rPr>
          <w:rFonts w:hint="eastAsia"/>
        </w:rPr>
        <w:t>号）を提出すること。</w:t>
      </w:r>
    </w:p>
    <w:p>
      <w:pPr>
        <w:pStyle w:val="0"/>
        <w:rPr>
          <w:rFonts w:hint="default"/>
        </w:rPr>
      </w:pPr>
    </w:p>
    <w:p>
      <w:pPr>
        <w:pStyle w:val="0"/>
        <w:rPr>
          <w:rFonts w:hint="default"/>
        </w:rPr>
      </w:pPr>
      <w:r>
        <w:rPr>
          <w:rFonts w:hint="eastAsia"/>
        </w:rPr>
        <w:t>３．売払いの内容</w:t>
      </w:r>
    </w:p>
    <w:p>
      <w:pPr>
        <w:pStyle w:val="15"/>
        <w:numPr>
          <w:ilvl w:val="0"/>
          <w:numId w:val="2"/>
        </w:numPr>
        <w:ind w:left="709" w:leftChars="0" w:hanging="425"/>
        <w:rPr>
          <w:rFonts w:hint="default"/>
        </w:rPr>
      </w:pPr>
      <w:r>
        <w:rPr>
          <w:rFonts w:hint="default"/>
        </w:rPr>
        <w:t>甲は</w:t>
      </w:r>
      <w:r>
        <w:rPr>
          <w:rFonts w:hint="default"/>
        </w:rPr>
        <w:t>GIGA</w:t>
      </w:r>
      <w:r>
        <w:rPr>
          <w:rFonts w:hint="default"/>
        </w:rPr>
        <w:t>スクール端末</w:t>
      </w:r>
      <w:r>
        <w:rPr>
          <w:rFonts w:hint="eastAsia"/>
        </w:rPr>
        <w:t>の</w:t>
      </w:r>
      <w:r>
        <w:rPr>
          <w:rFonts w:hint="default"/>
        </w:rPr>
        <w:t>残存価値を踏まえ有償で売払を行う。</w:t>
      </w:r>
    </w:p>
    <w:p>
      <w:pPr>
        <w:pStyle w:val="15"/>
        <w:numPr>
          <w:ilvl w:val="0"/>
          <w:numId w:val="2"/>
        </w:numPr>
        <w:ind w:left="709" w:leftChars="0" w:hanging="425"/>
        <w:rPr>
          <w:rFonts w:hint="default"/>
        </w:rPr>
      </w:pPr>
      <w:r>
        <w:rPr>
          <w:rFonts w:hint="eastAsia"/>
        </w:rPr>
        <w:t>乙は、甲の義務教育学校で使用していた</w:t>
      </w:r>
      <w:r>
        <w:rPr>
          <w:rFonts w:hint="eastAsia"/>
        </w:rPr>
        <w:t>GIGA</w:t>
      </w:r>
      <w:r>
        <w:rPr>
          <w:rFonts w:hint="eastAsia"/>
        </w:rPr>
        <w:t>スクール端末等を回収し、小型家電リサイクル法、資源有効利用促進法（廃棄物の処理及び清掃に関する法律（昭和</w:t>
      </w:r>
      <w:r>
        <w:rPr>
          <w:rFonts w:hint="eastAsia"/>
        </w:rPr>
        <w:t>45</w:t>
      </w:r>
      <w:r>
        <w:rPr>
          <w:rFonts w:hint="eastAsia"/>
        </w:rPr>
        <w:t>年法律第</w:t>
      </w:r>
      <w:r>
        <w:rPr>
          <w:rFonts w:hint="eastAsia"/>
        </w:rPr>
        <w:t>137</w:t>
      </w:r>
      <w:r>
        <w:rPr>
          <w:rFonts w:hint="eastAsia"/>
        </w:rPr>
        <w:t>号。以下、「廃棄物処理法」という。）の広域認定制度によるもの。）において認定を受けた乙の再資源化事業計画に従い、回収した</w:t>
      </w:r>
      <w:r>
        <w:rPr>
          <w:rFonts w:hint="eastAsia"/>
        </w:rPr>
        <w:t>GIGA</w:t>
      </w:r>
      <w:r>
        <w:rPr>
          <w:rFonts w:hint="eastAsia"/>
        </w:rPr>
        <w:t>スクール端末等</w:t>
      </w:r>
      <w:r>
        <w:rPr>
          <w:rFonts w:hint="default"/>
        </w:rPr>
        <w:t>を</w:t>
      </w:r>
      <w:r>
        <w:rPr>
          <w:rFonts w:hint="eastAsia"/>
        </w:rPr>
        <w:t>再使用・再資源化</w:t>
      </w:r>
      <w:r>
        <w:rPr>
          <w:rFonts w:hint="default"/>
        </w:rPr>
        <w:t>する</w:t>
      </w:r>
      <w:r>
        <w:rPr>
          <w:rFonts w:hint="eastAsia"/>
        </w:rPr>
        <w:t>。</w:t>
      </w:r>
    </w:p>
    <w:p>
      <w:pPr>
        <w:pStyle w:val="15"/>
        <w:numPr>
          <w:ilvl w:val="0"/>
          <w:numId w:val="2"/>
        </w:numPr>
        <w:ind w:left="709" w:leftChars="0" w:hanging="425"/>
        <w:rPr>
          <w:rFonts w:hint="default"/>
        </w:rPr>
      </w:pPr>
      <w:r>
        <w:rPr>
          <w:rFonts w:hint="eastAsia"/>
        </w:rPr>
        <w:t>乙は、</w:t>
      </w:r>
      <w:r>
        <w:rPr>
          <w:rFonts w:hint="eastAsia"/>
        </w:rPr>
        <w:t>GIGA</w:t>
      </w:r>
      <w:r>
        <w:rPr>
          <w:rFonts w:hint="eastAsia"/>
        </w:rPr>
        <w:t>スクール端末に含まれるデータの消去を、９．処分方法に定める方法で確実に実行し、端末毎にデータ消去完了証明書を発行する。データ消去作業を第三者に委託する場合は、当該第三者にも本項の義務を遵守させ、その履行について乙が責任を負うものとする。</w:t>
      </w:r>
    </w:p>
    <w:p>
      <w:pPr>
        <w:pStyle w:val="0"/>
        <w:ind w:left="210" w:hanging="210" w:hangingChars="100"/>
        <w:rPr>
          <w:rFonts w:hint="default"/>
        </w:rPr>
      </w:pPr>
    </w:p>
    <w:p>
      <w:pPr>
        <w:pStyle w:val="0"/>
        <w:rPr>
          <w:rFonts w:hint="default"/>
        </w:rPr>
      </w:pPr>
      <w:r>
        <w:rPr>
          <w:rFonts w:hint="eastAsia"/>
        </w:rPr>
        <w:t>４．履行期限</w:t>
      </w:r>
    </w:p>
    <w:p>
      <w:pPr>
        <w:pStyle w:val="0"/>
        <w:rPr>
          <w:rFonts w:hint="default"/>
        </w:rPr>
      </w:pPr>
      <w:r>
        <w:rPr>
          <w:rFonts w:hint="eastAsia"/>
        </w:rPr>
        <w:t>　　契約締結の日の翌日から令和</w:t>
      </w:r>
      <w:r>
        <w:rPr>
          <w:rFonts w:hint="eastAsia"/>
        </w:rPr>
        <w:t>9</w:t>
      </w:r>
      <w:r>
        <w:rPr>
          <w:rFonts w:hint="eastAsia"/>
        </w:rPr>
        <w:t>年</w:t>
      </w:r>
      <w:r>
        <w:rPr>
          <w:rFonts w:hint="eastAsia"/>
        </w:rPr>
        <w:t>3</w:t>
      </w:r>
      <w:r>
        <w:rPr>
          <w:rFonts w:hint="eastAsia"/>
        </w:rPr>
        <w:t>月</w:t>
      </w:r>
      <w:r>
        <w:rPr>
          <w:rFonts w:hint="eastAsia"/>
        </w:rPr>
        <w:t>5</w:t>
      </w:r>
      <w:r>
        <w:rPr>
          <w:rFonts w:hint="eastAsia"/>
        </w:rPr>
        <w:t>日までに、乙は本仕様書に定める義務を履行しなければならない。</w:t>
      </w:r>
    </w:p>
    <w:p>
      <w:pPr>
        <w:pStyle w:val="0"/>
        <w:rPr>
          <w:rFonts w:hint="default"/>
        </w:rPr>
      </w:pPr>
    </w:p>
    <w:p>
      <w:pPr>
        <w:pStyle w:val="0"/>
        <w:rPr>
          <w:rFonts w:hint="default"/>
        </w:rPr>
      </w:pPr>
      <w:r>
        <w:rPr>
          <w:rFonts w:hint="eastAsia"/>
        </w:rPr>
        <w:t>５．引渡し時期</w:t>
      </w:r>
    </w:p>
    <w:p>
      <w:pPr>
        <w:pStyle w:val="0"/>
        <w:rPr>
          <w:rFonts w:hint="default"/>
        </w:rPr>
      </w:pPr>
      <w:r>
        <w:rPr>
          <w:rFonts w:hint="eastAsia"/>
        </w:rPr>
        <w:t>代金の納付を確認した日の翌日から令和</w:t>
      </w:r>
      <w:r>
        <w:rPr>
          <w:rFonts w:hint="eastAsia"/>
        </w:rPr>
        <w:t>8</w:t>
      </w:r>
      <w:r>
        <w:rPr>
          <w:rFonts w:hint="eastAsia"/>
        </w:rPr>
        <w:t>年</w:t>
      </w:r>
      <w:r>
        <w:rPr>
          <w:rFonts w:hint="eastAsia"/>
        </w:rPr>
        <w:t>11</w:t>
      </w:r>
      <w:r>
        <w:rPr>
          <w:rFonts w:hint="eastAsia"/>
        </w:rPr>
        <w:t>月</w:t>
      </w:r>
      <w:r>
        <w:rPr>
          <w:rFonts w:hint="eastAsia"/>
        </w:rPr>
        <w:t>26</w:t>
      </w:r>
      <w:r>
        <w:rPr>
          <w:rFonts w:hint="eastAsia"/>
        </w:rPr>
        <w:t>日まで</w:t>
      </w:r>
    </w:p>
    <w:p>
      <w:pPr>
        <w:pStyle w:val="0"/>
        <w:rPr>
          <w:rFonts w:hint="default"/>
        </w:rPr>
      </w:pPr>
    </w:p>
    <w:p>
      <w:pPr>
        <w:pStyle w:val="0"/>
        <w:rPr>
          <w:rFonts w:hint="default"/>
        </w:rPr>
      </w:pPr>
      <w:r>
        <w:rPr>
          <w:rFonts w:hint="eastAsia"/>
        </w:rPr>
        <w:t>６．引渡し対象品</w:t>
      </w:r>
    </w:p>
    <w:p>
      <w:pPr>
        <w:pStyle w:val="15"/>
        <w:numPr>
          <w:ilvl w:val="0"/>
          <w:numId w:val="3"/>
        </w:numPr>
        <w:ind w:leftChars="0"/>
        <w:rPr>
          <w:rFonts w:hint="default"/>
        </w:rPr>
      </w:pPr>
      <w:r>
        <w:rPr>
          <w:rFonts w:hint="eastAsia"/>
        </w:rPr>
        <w:t>GIGA</w:t>
      </w:r>
      <w:r>
        <w:rPr>
          <w:rFonts w:hint="eastAsia"/>
        </w:rPr>
        <w:t>スクール端末</w:t>
      </w:r>
      <w:r>
        <w:rPr>
          <w:rFonts w:hint="eastAsia"/>
        </w:rPr>
        <w:t xml:space="preserve"> iPad </w:t>
      </w:r>
      <w:r>
        <w:rPr>
          <w:rFonts w:hint="eastAsia"/>
        </w:rPr>
        <w:t>第</w:t>
      </w:r>
      <w:r>
        <w:rPr>
          <w:rFonts w:hint="eastAsia"/>
        </w:rPr>
        <w:t>7</w:t>
      </w:r>
      <w:r>
        <w:rPr>
          <w:rFonts w:hint="eastAsia"/>
        </w:rPr>
        <w:t>世代</w:t>
      </w:r>
      <w:r>
        <w:rPr>
          <w:rFonts w:hint="eastAsia"/>
        </w:rPr>
        <w:t xml:space="preserve"> Wi-Fi</w:t>
      </w:r>
      <w:r>
        <w:rPr>
          <w:rFonts w:hint="eastAsia"/>
        </w:rPr>
        <w:t>モデル</w:t>
      </w:r>
      <w:r>
        <w:rPr>
          <w:rFonts w:hint="eastAsia"/>
        </w:rPr>
        <w:t xml:space="preserve"> 32GB</w:t>
      </w:r>
    </w:p>
    <w:p>
      <w:pPr>
        <w:pStyle w:val="0"/>
        <w:ind w:left="840" w:leftChars="300" w:hanging="210" w:hangingChars="100"/>
        <w:rPr>
          <w:rFonts w:hint="default"/>
        </w:rPr>
      </w:pPr>
      <w:r>
        <w:rPr>
          <w:rFonts w:hint="eastAsia"/>
        </w:rPr>
        <w:t>※</w:t>
      </w:r>
      <w:r>
        <w:rPr>
          <w:rFonts w:hint="eastAsia"/>
        </w:rPr>
        <w:t>iPad</w:t>
      </w:r>
      <w:r>
        <w:rPr>
          <w:rFonts w:hint="eastAsia"/>
        </w:rPr>
        <w:t>本体には、標準付属品として、タブレットケース（キーボード付き）又はバンド付きカバー（片手操作用、キーボードなし）のいずれかが装着されている（対象学年により異なる。）。付属品の状態についても、本体と同様に現状有姿とし、個別の状態評価は行わない。</w:t>
      </w:r>
    </w:p>
    <w:p>
      <w:pPr>
        <w:pStyle w:val="0"/>
        <w:ind w:left="840" w:leftChars="300" w:hanging="210" w:hangingChars="100"/>
        <w:rPr>
          <w:rFonts w:hint="default"/>
        </w:rPr>
      </w:pPr>
      <w:r>
        <w:rPr>
          <w:rFonts w:hint="eastAsia"/>
        </w:rPr>
        <w:t>※</w:t>
      </w:r>
      <w:r>
        <w:rPr>
          <w:rFonts w:hint="default"/>
        </w:rPr>
        <w:t>甲の責において端末管理・セキュリティ等に関連したアクティベーションロック</w:t>
      </w:r>
      <w:r>
        <w:rPr>
          <w:rFonts w:hint="default"/>
          <w:color w:val="000000" w:themeColor="text1"/>
        </w:rPr>
        <w:t>・</w:t>
      </w:r>
      <w:r>
        <w:rPr>
          <w:rFonts w:hint="default"/>
          <w:color w:val="000000" w:themeColor="text1"/>
        </w:rPr>
        <w:t>MDM</w:t>
      </w:r>
      <w:r>
        <w:rPr>
          <w:rFonts w:hint="default"/>
          <w:color w:val="000000" w:themeColor="text1"/>
        </w:rPr>
        <w:t>・</w:t>
      </w:r>
      <w:r>
        <w:rPr>
          <w:rFonts w:hint="default"/>
          <w:color w:val="000000" w:themeColor="text1"/>
        </w:rPr>
        <w:t>Apple School Manager</w:t>
      </w:r>
      <w:r>
        <w:rPr>
          <w:rFonts w:hint="default"/>
          <w:color w:val="000000" w:themeColor="text1"/>
        </w:rPr>
        <w:t>等は全て解除済</w:t>
      </w:r>
      <w:r>
        <w:rPr>
          <w:rFonts w:hint="eastAsia"/>
          <w:color w:val="000000" w:themeColor="text1"/>
        </w:rPr>
        <w:t>み</w:t>
      </w:r>
    </w:p>
    <w:p>
      <w:pPr>
        <w:pStyle w:val="0"/>
        <w:ind w:left="840" w:leftChars="300" w:hanging="210" w:hangingChars="100"/>
        <w:rPr>
          <w:rFonts w:hint="default"/>
        </w:rPr>
      </w:pPr>
      <w:r>
        <w:rPr>
          <w:rFonts w:hint="eastAsia"/>
        </w:rPr>
        <w:t>※再使用が困難な故障品・破損品（例：液晶割れ・ボタン不良・カメラ不良・充電不良等）・水没品・汚損品（例：マジックで本体に落書き）等（以下「ジャンク該当端末」という。）も売払対象に含む。乙は、ジャンク該当端末について自らの責任及び費用負担において適正に処分すること。処分費用は入札金額に織り込むものとし、契約締結後の別途控除は行わない。</w:t>
      </w:r>
    </w:p>
    <w:p>
      <w:pPr>
        <w:pStyle w:val="0"/>
        <w:rPr>
          <w:rFonts w:hint="default"/>
        </w:rPr>
      </w:pPr>
    </w:p>
    <w:p>
      <w:pPr>
        <w:pStyle w:val="0"/>
        <w:rPr>
          <w:rFonts w:hint="default"/>
        </w:rPr>
      </w:pPr>
      <w:r>
        <w:rPr>
          <w:rFonts w:hint="eastAsia"/>
        </w:rPr>
        <w:t>７．予定数量・引渡し場所等</w:t>
      </w:r>
    </w:p>
    <w:p>
      <w:pPr>
        <w:pStyle w:val="0"/>
        <w:rPr>
          <w:rFonts w:hint="default"/>
        </w:rPr>
      </w:pPr>
      <w:r>
        <w:rPr>
          <w:rFonts w:hint="eastAsia"/>
        </w:rPr>
        <w:t>　　別紙「学校別予定数量表（公表用）」による。</w:t>
      </w:r>
    </w:p>
    <w:p>
      <w:pPr>
        <w:pStyle w:val="0"/>
        <w:ind w:left="840" w:leftChars="300" w:hanging="210" w:hangingChars="100"/>
        <w:rPr>
          <w:rFonts w:hint="default"/>
        </w:rPr>
      </w:pPr>
      <w:r>
        <w:rPr>
          <w:rFonts w:hint="default"/>
        </w:rPr>
        <w:t xml:space="preserve">※ </w:t>
      </w:r>
      <w:r>
        <w:rPr>
          <w:rFonts w:hint="default"/>
        </w:rPr>
        <w:t>各端末には、標準付属品として、タブレットケース（キーボード付き）又はバンド付きカバー（片手操作用、キーボードなし）のいずれかが装着されている（対象学年により異なる。）。付属品の状態は本体と同様に現状有姿とし、個別の状態評価は行わない。付属品の処分を要する場合の費用の扱いも、端末（ジャンク該当端末）と同様とする。</w:t>
      </w:r>
    </w:p>
    <w:p>
      <w:pPr>
        <w:pStyle w:val="0"/>
        <w:ind w:left="840" w:leftChars="400" w:firstLine="0" w:firstLineChars="0"/>
        <w:rPr>
          <w:rFonts w:hint="default"/>
        </w:rPr>
      </w:pPr>
      <w:r>
        <w:rPr>
          <w:rFonts w:hint="default"/>
        </w:rPr>
        <w:t>なお、引渡数量は、引渡し時に別紙「引渡確認書」により甲及び乙が確認した数量を正とする。引渡し後に判明した誤配送等の数量相違については、契約書の定めるところによる。</w:t>
      </w:r>
    </w:p>
    <w:p>
      <w:pPr>
        <w:pStyle w:val="0"/>
        <w:rPr>
          <w:rFonts w:hint="default"/>
        </w:rPr>
      </w:pPr>
    </w:p>
    <w:p>
      <w:pPr>
        <w:pStyle w:val="0"/>
        <w:rPr>
          <w:rFonts w:hint="default"/>
        </w:rPr>
      </w:pPr>
      <w:r>
        <w:rPr>
          <w:rFonts w:hint="eastAsia"/>
        </w:rPr>
        <w:t>８．引渡しの方法</w:t>
      </w:r>
    </w:p>
    <w:p>
      <w:pPr>
        <w:pStyle w:val="0"/>
        <w:ind w:left="283" w:leftChars="135" w:firstLine="130" w:firstLineChars="62"/>
        <w:rPr>
          <w:rFonts w:hint="default"/>
        </w:rPr>
      </w:pPr>
      <w:r>
        <w:rPr>
          <w:rFonts w:hint="eastAsia"/>
        </w:rPr>
        <w:t>甲および乙は、対象品を引渡す日時・場所・品目・数量等について事前に協議を実施する。乙は内容に基づき、引渡しに必要な車両等を手配する。</w:t>
      </w:r>
    </w:p>
    <w:p>
      <w:pPr>
        <w:pStyle w:val="0"/>
        <w:rPr>
          <w:rFonts w:hint="default"/>
        </w:rPr>
      </w:pPr>
    </w:p>
    <w:p>
      <w:pPr>
        <w:pStyle w:val="0"/>
        <w:rPr>
          <w:rFonts w:hint="default"/>
        </w:rPr>
      </w:pPr>
      <w:r>
        <w:rPr>
          <w:rFonts w:hint="eastAsia"/>
        </w:rPr>
        <w:t>９．処分方法</w:t>
      </w:r>
    </w:p>
    <w:p>
      <w:pPr>
        <w:pStyle w:val="0"/>
        <w:ind w:left="210" w:hanging="210" w:hangingChars="100"/>
        <w:rPr>
          <w:rFonts w:hint="default"/>
        </w:rPr>
      </w:pPr>
      <w:r>
        <w:rPr>
          <w:rFonts w:hint="eastAsia"/>
        </w:rPr>
        <w:t>　　乙は、引渡しを受けた対象品について、下記を満たす方法により処分を実施すること。</w:t>
      </w:r>
    </w:p>
    <w:p>
      <w:pPr>
        <w:pStyle w:val="15"/>
        <w:numPr>
          <w:ilvl w:val="0"/>
          <w:numId w:val="4"/>
        </w:numPr>
        <w:ind w:left="709" w:leftChars="0" w:hanging="269"/>
        <w:rPr>
          <w:rFonts w:hint="default"/>
        </w:rPr>
      </w:pPr>
      <w:r>
        <w:rPr>
          <w:rFonts w:hint="eastAsia"/>
        </w:rPr>
        <w:t>「小型家電リサイクル法」を遵守し、</w:t>
      </w:r>
      <w:r>
        <w:rPr>
          <w:rFonts w:hint="eastAsia"/>
          <w:b w:val="1"/>
          <w:u w:val="single" w:color="auto"/>
        </w:rPr>
        <w:t>乙が関係省庁に提出した認定計画等に準拠した方法で処分（再使用・再資源化）を実施</w:t>
      </w:r>
      <w:r>
        <w:rPr>
          <w:rFonts w:hint="eastAsia"/>
        </w:rPr>
        <w:t>する。</w:t>
      </w:r>
    </w:p>
    <w:p>
      <w:pPr>
        <w:pStyle w:val="15"/>
        <w:numPr>
          <w:ilvl w:val="0"/>
          <w:numId w:val="4"/>
        </w:numPr>
        <w:ind w:left="709" w:leftChars="0" w:hanging="269"/>
        <w:rPr>
          <w:rFonts w:hint="default"/>
        </w:rPr>
      </w:pPr>
      <w:r>
        <w:rPr>
          <w:rFonts w:hint="eastAsia"/>
        </w:rPr>
        <w:t>GIGA</w:t>
      </w:r>
      <w:r>
        <w:rPr>
          <w:rFonts w:hint="eastAsia"/>
        </w:rPr>
        <w:t>スクール端末が情報機器である性質を踏まえ、盗難や情報漏洩等が発生しないように、作業場所全体を監視可能な複数の防犯カメラの設置、作業者の不正防止策（記憶媒体等の持ち込み・持ち出し等を防止する方法、入退室のログ管理・保存、専用制服の着用等）の実施、異常を検知する警備システムの導入等、</w:t>
      </w:r>
      <w:r>
        <w:rPr>
          <w:rFonts w:hint="eastAsia"/>
          <w:b w:val="1"/>
          <w:u w:val="single" w:color="auto"/>
        </w:rPr>
        <w:t>万全なセキュリティの確保・不正防止に必要な処置を講ずること</w:t>
      </w:r>
      <w:r>
        <w:rPr>
          <w:rFonts w:hint="eastAsia"/>
        </w:rPr>
        <w:t>。</w:t>
      </w:r>
    </w:p>
    <w:p>
      <w:pPr>
        <w:pStyle w:val="15"/>
        <w:numPr>
          <w:ilvl w:val="0"/>
          <w:numId w:val="4"/>
        </w:numPr>
        <w:ind w:left="709" w:leftChars="0" w:hanging="269"/>
        <w:rPr>
          <w:rFonts w:hint="default"/>
        </w:rPr>
      </w:pPr>
      <w:r>
        <w:rPr>
          <w:rFonts w:hint="eastAsia"/>
        </w:rPr>
        <w:t>処分（再使用・再資源化）にあたっては、甲が定める</w:t>
      </w:r>
      <w:r>
        <w:rPr>
          <w:rFonts w:hint="eastAsia"/>
          <w:b w:val="1"/>
          <w:u w:val="single" w:color="auto"/>
        </w:rPr>
        <w:t>教育情報セキュリティポリシーに基づいたデータ消去を行うこと。具体的な方法として、作業ログの取得が可能な専用ソフトを用いた上書き消去方式・ブロック消去方式・暗号化消去方式等で確実に消去を行うこと</w:t>
      </w:r>
      <w:r>
        <w:rPr>
          <w:rFonts w:hint="eastAsia"/>
        </w:rPr>
        <w:t>。故障等により専用ソフトを利用した消去が不可能な端末は、</w:t>
      </w:r>
      <w:r>
        <w:rPr>
          <w:rFonts w:hint="eastAsia"/>
          <w:color w:val="000000" w:themeColor="text1"/>
        </w:rPr>
        <w:t>データの復元が不可能といわれる状態まで記憶媒体を物理的に破壊（</w:t>
      </w:r>
      <w:r>
        <w:rPr>
          <w:rFonts w:hint="eastAsia"/>
          <w:color w:val="000000" w:themeColor="text1"/>
        </w:rPr>
        <w:t>SSD</w:t>
      </w:r>
      <w:r>
        <w:rPr>
          <w:rFonts w:hint="eastAsia"/>
          <w:color w:val="000000" w:themeColor="text1"/>
        </w:rPr>
        <w:t>・</w:t>
      </w:r>
      <w:r>
        <w:rPr>
          <w:rFonts w:hint="eastAsia"/>
          <w:color w:val="000000" w:themeColor="text1"/>
        </w:rPr>
        <w:t>e</w:t>
      </w:r>
      <w:r>
        <w:rPr>
          <w:rFonts w:hint="default"/>
          <w:color w:val="000000" w:themeColor="text1"/>
        </w:rPr>
        <w:t>MMC</w:t>
      </w:r>
      <w:r>
        <w:rPr>
          <w:rFonts w:hint="eastAsia"/>
          <w:color w:val="000000" w:themeColor="text1"/>
        </w:rPr>
        <w:t>を使用している端末は２</w:t>
      </w:r>
      <w:r>
        <w:rPr>
          <w:rFonts w:hint="default"/>
          <w:color w:val="000000" w:themeColor="text1"/>
        </w:rPr>
        <w:t>mm</w:t>
      </w:r>
      <w:r>
        <w:rPr>
          <w:rFonts w:hint="eastAsia"/>
          <w:color w:val="000000" w:themeColor="text1"/>
        </w:rPr>
        <w:t>を目安に粉砕処理すること等）を行う等、当該データの重要性分類に応じた適切な消去方法を用いること。</w:t>
      </w:r>
      <w:r>
        <w:rPr>
          <w:rFonts w:hint="eastAsia"/>
        </w:rPr>
        <w:t>なお、</w:t>
      </w:r>
      <w:r>
        <w:rPr>
          <w:rFonts w:hint="eastAsia"/>
        </w:rPr>
        <w:t>HDD</w:t>
      </w:r>
      <w:r>
        <w:rPr>
          <w:rFonts w:hint="eastAsia"/>
        </w:rPr>
        <w:t>用のデータ消去方法ではデータが残存している可能性があるため、データ消去方法としては不適切である。</w:t>
      </w:r>
    </w:p>
    <w:p>
      <w:pPr>
        <w:pStyle w:val="15"/>
        <w:numPr>
          <w:ilvl w:val="0"/>
          <w:numId w:val="4"/>
        </w:numPr>
        <w:ind w:left="709" w:leftChars="0" w:hanging="269"/>
        <w:rPr>
          <w:rFonts w:hint="default"/>
        </w:rPr>
      </w:pPr>
      <w:r>
        <w:rPr>
          <w:rFonts w:hint="eastAsia"/>
        </w:rPr>
        <w:t>データ消去作業は</w:t>
      </w:r>
      <w:r>
        <w:rPr>
          <w:rFonts w:hint="default"/>
        </w:rPr>
        <w:t>ADEC</w:t>
      </w:r>
      <w:r>
        <w:rPr>
          <w:rFonts w:hint="default"/>
        </w:rPr>
        <w:t>（データ適正消去実行証明協議会）の消去プロセス認定を受けた事業者、又はこれと同等の第三者認証を受けた</w:t>
      </w:r>
      <w:r>
        <w:rPr>
          <w:rFonts w:hint="eastAsia"/>
        </w:rPr>
        <w:t>事業者</w:t>
      </w:r>
      <w:r>
        <w:rPr>
          <w:rFonts w:hint="default"/>
        </w:rPr>
        <w:t>で行うこと。</w:t>
      </w:r>
      <w:r>
        <w:rPr>
          <w:rFonts w:hint="eastAsia"/>
        </w:rPr>
        <w:t>また、データ消去方法・作業場所および作業を行う事業者を、事前に甲へ報告すること。</w:t>
      </w:r>
    </w:p>
    <w:p>
      <w:pPr>
        <w:pStyle w:val="15"/>
        <w:numPr>
          <w:ilvl w:val="0"/>
          <w:numId w:val="4"/>
        </w:numPr>
        <w:ind w:left="709" w:leftChars="0" w:hanging="269"/>
        <w:rPr>
          <w:rFonts w:hint="default"/>
        </w:rPr>
      </w:pPr>
      <w:r>
        <w:rPr>
          <w:rFonts w:hint="eastAsia"/>
        </w:rPr>
        <w:t>データ消去完了後は、</w:t>
      </w:r>
      <w:r>
        <w:rPr>
          <w:rFonts w:hint="eastAsia"/>
          <w:b w:val="1"/>
          <w:u w:val="single" w:color="auto"/>
        </w:rPr>
        <w:t>端末毎の個体番号・消去方法・消去完了日時・作業者名等が記載されたデータ消去完了証明書を発行</w:t>
      </w:r>
      <w:r>
        <w:rPr>
          <w:rFonts w:hint="eastAsia"/>
        </w:rPr>
        <w:t>し、甲が端末毎にデータ消去作業の完了を確認できるようにすること。また、データ消去完了証明書に記載された内容を</w:t>
      </w:r>
      <w:r>
        <w:rPr>
          <w:rFonts w:hint="eastAsia"/>
        </w:rPr>
        <w:t>5</w:t>
      </w:r>
      <w:r>
        <w:rPr>
          <w:rFonts w:hint="eastAsia"/>
        </w:rPr>
        <w:t>年間保管し、甲の求めに応じて開示できるように保存しておくこと。</w:t>
      </w:r>
    </w:p>
    <w:p>
      <w:pPr>
        <w:pStyle w:val="15"/>
        <w:numPr>
          <w:ilvl w:val="0"/>
          <w:numId w:val="4"/>
        </w:numPr>
        <w:ind w:left="709" w:leftChars="0" w:hanging="269"/>
        <w:rPr>
          <w:rFonts w:hint="default"/>
        </w:rPr>
      </w:pPr>
      <w:r>
        <w:rPr>
          <w:rFonts w:hint="eastAsia"/>
        </w:rPr>
        <w:t>GIGA</w:t>
      </w:r>
      <w:r>
        <w:rPr>
          <w:rFonts w:hint="eastAsia"/>
        </w:rPr>
        <w:t>スクール端末を再使用する場合は、甲が所有していたことが明らかなシール等は全て削除すること。</w:t>
      </w:r>
    </w:p>
    <w:p>
      <w:pPr>
        <w:pStyle w:val="0"/>
        <w:rPr>
          <w:rFonts w:hint="default"/>
        </w:rPr>
      </w:pPr>
    </w:p>
    <w:p>
      <w:pPr>
        <w:pStyle w:val="0"/>
        <w:rPr>
          <w:rFonts w:hint="default"/>
        </w:rPr>
      </w:pPr>
      <w:r>
        <w:rPr>
          <w:rFonts w:hint="eastAsia"/>
        </w:rPr>
        <w:t>１０．消去完了の確認</w:t>
      </w:r>
    </w:p>
    <w:p>
      <w:pPr>
        <w:pStyle w:val="0"/>
        <w:ind w:left="210" w:hanging="210" w:hangingChars="100"/>
        <w:rPr>
          <w:rFonts w:hint="default"/>
        </w:rPr>
      </w:pPr>
      <w:r>
        <w:rPr>
          <w:rFonts w:hint="eastAsia"/>
        </w:rPr>
        <w:t>　　乙より提出を受けたデータ消去完了証明書で、各端末のデータ消去作業が完了した事を確認し、さらに引渡し品が再資源化された報告をもって履行されたものとみなす。</w:t>
      </w:r>
    </w:p>
    <w:p>
      <w:pPr>
        <w:pStyle w:val="0"/>
        <w:rPr>
          <w:rFonts w:hint="default"/>
        </w:rPr>
      </w:pPr>
    </w:p>
    <w:p>
      <w:pPr>
        <w:pStyle w:val="0"/>
        <w:rPr>
          <w:rFonts w:hint="default"/>
        </w:rPr>
      </w:pPr>
      <w:r>
        <w:rPr>
          <w:rFonts w:hint="eastAsia"/>
        </w:rPr>
        <w:t>１１．協議事項</w:t>
      </w:r>
    </w:p>
    <w:p>
      <w:pPr>
        <w:pStyle w:val="0"/>
        <w:ind w:left="210" w:hanging="210" w:hangingChars="100"/>
        <w:rPr>
          <w:rFonts w:hint="default"/>
        </w:rPr>
      </w:pPr>
      <w:r>
        <w:rPr>
          <w:rFonts w:hint="eastAsia"/>
        </w:rPr>
        <w:t>　　甲の担当職員との連絡を密にして業務に当たること。一連の各対応については、仕様を満たしているか、作業実施前に甲と確認を行うこと。なお、本仕様書に定めのない事項については、甲の担当職員と協議しその指示に従うこと。</w:t>
      </w:r>
    </w:p>
    <w:p>
      <w:pPr>
        <w:pStyle w:val="0"/>
        <w:rPr>
          <w:rFonts w:hint="default"/>
        </w:rPr>
      </w:pPr>
    </w:p>
    <w:p>
      <w:pPr>
        <w:pStyle w:val="0"/>
        <w:rPr>
          <w:rFonts w:hint="default"/>
        </w:rPr>
      </w:pPr>
      <w:r>
        <w:rPr>
          <w:rFonts w:hint="eastAsia"/>
        </w:rPr>
        <w:t>１２．留意事項</w:t>
      </w:r>
    </w:p>
    <w:p>
      <w:pPr>
        <w:pStyle w:val="0"/>
        <w:ind w:left="630" w:hanging="630" w:hangingChars="300"/>
        <w:rPr>
          <w:rFonts w:hint="default"/>
        </w:rPr>
      </w:pPr>
      <w:r>
        <w:rPr>
          <w:rFonts w:hint="eastAsia"/>
        </w:rPr>
        <w:t>（１）損害賠償</w:t>
      </w:r>
    </w:p>
    <w:p>
      <w:pPr>
        <w:pStyle w:val="0"/>
        <w:ind w:left="630" w:leftChars="300"/>
        <w:rPr>
          <w:rFonts w:hint="default"/>
        </w:rPr>
      </w:pPr>
      <w:r>
        <w:rPr>
          <w:rFonts w:hint="eastAsia"/>
        </w:rPr>
        <w:t>本契約の履行に伴い第三者に与えた損害は、甲の責に帰すべきものを除き、全て乙の責任において処理すること。</w:t>
      </w:r>
    </w:p>
    <w:p>
      <w:pPr>
        <w:pStyle w:val="0"/>
        <w:ind w:left="630" w:hanging="630" w:hangingChars="300"/>
        <w:rPr>
          <w:rFonts w:hint="default"/>
        </w:rPr>
      </w:pPr>
      <w:r>
        <w:rPr>
          <w:rFonts w:hint="eastAsia"/>
        </w:rPr>
        <w:t>（２）その他</w:t>
      </w:r>
    </w:p>
    <w:p>
      <w:pPr>
        <w:pStyle w:val="15"/>
        <w:numPr>
          <w:ilvl w:val="0"/>
          <w:numId w:val="4"/>
        </w:numPr>
        <w:ind w:left="709" w:leftChars="0" w:hanging="269"/>
        <w:rPr>
          <w:rFonts w:hint="default"/>
        </w:rPr>
      </w:pPr>
      <w:r>
        <w:rPr>
          <w:rFonts w:hint="eastAsia"/>
        </w:rPr>
        <w:t>乙は、契約時に参加資格に合致していることを証明する書類を提出すること。</w:t>
      </w:r>
    </w:p>
    <w:p>
      <w:pPr>
        <w:pStyle w:val="15"/>
        <w:numPr>
          <w:ilvl w:val="0"/>
          <w:numId w:val="4"/>
        </w:numPr>
        <w:ind w:left="709" w:leftChars="0" w:hanging="269"/>
        <w:rPr>
          <w:rFonts w:hint="default"/>
        </w:rPr>
      </w:pPr>
      <w:r>
        <w:rPr>
          <w:rFonts w:hint="eastAsia"/>
        </w:rPr>
        <w:t>本件売払いでは、個人情報を含む機器を取り扱う可能性があるため、乙は、乙の従事者に対し個人情報保護に関する研修を十分に行い、引渡した端末に含まれる個人情報の保護に努めること。</w:t>
      </w:r>
    </w:p>
    <w:p>
      <w:pPr>
        <w:pStyle w:val="15"/>
        <w:numPr>
          <w:ilvl w:val="0"/>
          <w:numId w:val="4"/>
        </w:numPr>
        <w:ind w:left="709" w:leftChars="0" w:hanging="269"/>
        <w:rPr>
          <w:rFonts w:hint="default"/>
        </w:rPr>
      </w:pPr>
      <w:r>
        <w:rPr>
          <w:rFonts w:hint="eastAsia"/>
        </w:rPr>
        <w:t>乙は本契約の履行が困難となる事由が生じた場合は、業務を一時停止し、直ちに甲へ当該事由の内容及び甲が受ける影響が最小限となる措置を講じる旨を、速やかに書面をもって通知すること。</w:t>
      </w:r>
    </w:p>
    <w:p>
      <w:pPr>
        <w:pStyle w:val="15"/>
        <w:numPr>
          <w:ilvl w:val="0"/>
          <w:numId w:val="4"/>
        </w:numPr>
        <w:ind w:left="709" w:leftChars="0" w:hanging="269"/>
        <w:rPr>
          <w:rFonts w:hint="default"/>
        </w:rPr>
      </w:pPr>
      <w:r>
        <w:rPr>
          <w:rFonts w:hint="eastAsia"/>
        </w:rPr>
        <w:t>乙の作業開始後であっても、仕様を満たせないことが判明した場合、甲は契約を解除する事ができる。その場合の補償等は一切行わない。</w:t>
      </w:r>
    </w:p>
    <w:sectPr>
      <w:headerReference r:id="rId6" w:type="first"/>
      <w:pgSz w:w="11906" w:h="16838"/>
      <w:pgMar w:top="1701" w:right="1701" w:bottom="1701" w:left="1701" w:header="851" w:footer="992" w:gutter="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67E25FE"/>
    <w:lvl w:ilvl="0" w:tplc="7AE4D8A4">
      <w:numFmt w:val="bullet"/>
      <w:lvlText w:val=""/>
      <w:lvlJc w:val="left"/>
      <w:pPr>
        <w:ind w:left="723" w:hanging="440"/>
      </w:pPr>
      <w:rPr>
        <w:rFonts w:hint="default" w:ascii="Wingdings" w:hAnsi="Wingdings"/>
      </w:rPr>
    </w:lvl>
    <w:lvl w:ilvl="1" w:tplc="0409000B">
      <w:numFmt w:val="bullet"/>
      <w:lvlText w:val=""/>
      <w:lvlJc w:val="left"/>
      <w:pPr>
        <w:ind w:left="1163" w:hanging="440"/>
      </w:pPr>
      <w:rPr>
        <w:rFonts w:hint="default" w:ascii="Wingdings" w:hAnsi="Wingdings"/>
      </w:rPr>
    </w:lvl>
    <w:lvl w:ilvl="2" w:tplc="0409000D">
      <w:numFmt w:val="bullet"/>
      <w:lvlText w:val=""/>
      <w:lvlJc w:val="left"/>
      <w:pPr>
        <w:ind w:left="1603" w:hanging="440"/>
      </w:pPr>
      <w:rPr>
        <w:rFonts w:hint="default" w:ascii="Wingdings" w:hAnsi="Wingdings"/>
      </w:rPr>
    </w:lvl>
    <w:lvl w:ilvl="3" w:tplc="04090001">
      <w:numFmt w:val="bullet"/>
      <w:lvlText w:val=""/>
      <w:lvlJc w:val="left"/>
      <w:pPr>
        <w:ind w:left="2043" w:hanging="440"/>
      </w:pPr>
      <w:rPr>
        <w:rFonts w:hint="default" w:ascii="Wingdings" w:hAnsi="Wingdings"/>
      </w:rPr>
    </w:lvl>
    <w:lvl w:ilvl="4" w:tplc="0409000B">
      <w:numFmt w:val="bullet"/>
      <w:lvlText w:val=""/>
      <w:lvlJc w:val="left"/>
      <w:pPr>
        <w:ind w:left="2483" w:hanging="440"/>
      </w:pPr>
      <w:rPr>
        <w:rFonts w:hint="default" w:ascii="Wingdings" w:hAnsi="Wingdings"/>
      </w:rPr>
    </w:lvl>
    <w:lvl w:ilvl="5" w:tplc="0409000D">
      <w:numFmt w:val="bullet"/>
      <w:lvlText w:val=""/>
      <w:lvlJc w:val="left"/>
      <w:pPr>
        <w:ind w:left="2923" w:hanging="440"/>
      </w:pPr>
      <w:rPr>
        <w:rFonts w:hint="default" w:ascii="Wingdings" w:hAnsi="Wingdings"/>
      </w:rPr>
    </w:lvl>
    <w:lvl w:ilvl="6" w:tplc="04090001">
      <w:numFmt w:val="bullet"/>
      <w:lvlText w:val=""/>
      <w:lvlJc w:val="left"/>
      <w:pPr>
        <w:ind w:left="3363" w:hanging="440"/>
      </w:pPr>
      <w:rPr>
        <w:rFonts w:hint="default" w:ascii="Wingdings" w:hAnsi="Wingdings"/>
      </w:rPr>
    </w:lvl>
    <w:lvl w:ilvl="7" w:tplc="0409000B">
      <w:numFmt w:val="bullet"/>
      <w:lvlText w:val=""/>
      <w:lvlJc w:val="left"/>
      <w:pPr>
        <w:ind w:left="3803" w:hanging="440"/>
      </w:pPr>
      <w:rPr>
        <w:rFonts w:hint="default" w:ascii="Wingdings" w:hAnsi="Wingdings"/>
      </w:rPr>
    </w:lvl>
    <w:lvl w:ilvl="8" w:tplc="0409000D">
      <w:numFmt w:val="bullet"/>
      <w:lvlText w:val=""/>
      <w:lvlJc w:val="left"/>
      <w:pPr>
        <w:ind w:left="4243" w:hanging="440"/>
      </w:pPr>
      <w:rPr>
        <w:rFonts w:hint="default" w:ascii="Wingdings" w:hAnsi="Wingdings"/>
      </w:rPr>
    </w:lvl>
  </w:abstractNum>
  <w:abstractNum w:abstractNumId="1">
    <w:nsid w:val="00000002"/>
    <w:multiLevelType w:val="hybridMultilevel"/>
    <w:tmpl w:val="A1662D54"/>
    <w:lvl w:ilvl="0" w:tplc="7AE4D8A4">
      <w:numFmt w:val="bullet"/>
      <w:lvlText w:val=""/>
      <w:lvlJc w:val="left"/>
      <w:pPr>
        <w:ind w:left="1084" w:hanging="440"/>
      </w:pPr>
      <w:rPr>
        <w:rFonts w:hint="default" w:ascii="Wingdings" w:hAnsi="Wingdings"/>
      </w:rPr>
    </w:lvl>
    <w:lvl w:ilvl="1" w:tplc="0409000B">
      <w:numFmt w:val="bullet"/>
      <w:lvlText w:val=""/>
      <w:lvlJc w:val="left"/>
      <w:pPr>
        <w:ind w:left="1524" w:hanging="440"/>
      </w:pPr>
      <w:rPr>
        <w:rFonts w:hint="default" w:ascii="Wingdings" w:hAnsi="Wingdings"/>
      </w:rPr>
    </w:lvl>
    <w:lvl w:ilvl="2" w:tplc="0409000D">
      <w:numFmt w:val="bullet"/>
      <w:lvlText w:val=""/>
      <w:lvlJc w:val="left"/>
      <w:pPr>
        <w:ind w:left="1964" w:hanging="440"/>
      </w:pPr>
      <w:rPr>
        <w:rFonts w:hint="default" w:ascii="Wingdings" w:hAnsi="Wingdings"/>
      </w:rPr>
    </w:lvl>
    <w:lvl w:ilvl="3" w:tplc="04090001">
      <w:numFmt w:val="bullet"/>
      <w:lvlText w:val=""/>
      <w:lvlJc w:val="left"/>
      <w:pPr>
        <w:ind w:left="2404" w:hanging="440"/>
      </w:pPr>
      <w:rPr>
        <w:rFonts w:hint="default" w:ascii="Wingdings" w:hAnsi="Wingdings"/>
      </w:rPr>
    </w:lvl>
    <w:lvl w:ilvl="4" w:tplc="0409000B">
      <w:numFmt w:val="bullet"/>
      <w:lvlText w:val=""/>
      <w:lvlJc w:val="left"/>
      <w:pPr>
        <w:ind w:left="2844" w:hanging="440"/>
      </w:pPr>
      <w:rPr>
        <w:rFonts w:hint="default" w:ascii="Wingdings" w:hAnsi="Wingdings"/>
      </w:rPr>
    </w:lvl>
    <w:lvl w:ilvl="5" w:tplc="0409000D">
      <w:numFmt w:val="bullet"/>
      <w:lvlText w:val=""/>
      <w:lvlJc w:val="left"/>
      <w:pPr>
        <w:ind w:left="3284" w:hanging="440"/>
      </w:pPr>
      <w:rPr>
        <w:rFonts w:hint="default" w:ascii="Wingdings" w:hAnsi="Wingdings"/>
      </w:rPr>
    </w:lvl>
    <w:lvl w:ilvl="6" w:tplc="04090001">
      <w:numFmt w:val="bullet"/>
      <w:lvlText w:val=""/>
      <w:lvlJc w:val="left"/>
      <w:pPr>
        <w:ind w:left="3724" w:hanging="440"/>
      </w:pPr>
      <w:rPr>
        <w:rFonts w:hint="default" w:ascii="Wingdings" w:hAnsi="Wingdings"/>
      </w:rPr>
    </w:lvl>
    <w:lvl w:ilvl="7" w:tplc="0409000B">
      <w:numFmt w:val="bullet"/>
      <w:lvlText w:val=""/>
      <w:lvlJc w:val="left"/>
      <w:pPr>
        <w:ind w:left="4164" w:hanging="440"/>
      </w:pPr>
      <w:rPr>
        <w:rFonts w:hint="default" w:ascii="Wingdings" w:hAnsi="Wingdings"/>
      </w:rPr>
    </w:lvl>
    <w:lvl w:ilvl="8" w:tplc="0409000D">
      <w:numFmt w:val="bullet"/>
      <w:lvlText w:val=""/>
      <w:lvlJc w:val="left"/>
      <w:pPr>
        <w:ind w:left="4604" w:hanging="440"/>
      </w:pPr>
      <w:rPr>
        <w:rFonts w:hint="default" w:ascii="Wingdings" w:hAnsi="Wingdings"/>
      </w:rPr>
    </w:lvl>
  </w:abstractNum>
  <w:abstractNum w:abstractNumId="2">
    <w:nsid w:val="00000003"/>
    <w:multiLevelType w:val="hybridMultilevel"/>
    <w:tmpl w:val="8C58B1A2"/>
    <w:lvl w:ilvl="0" w:tplc="7AE4D8A4">
      <w:numFmt w:val="bullet"/>
      <w:lvlText w:val=""/>
      <w:lvlJc w:val="left"/>
      <w:pPr>
        <w:ind w:left="644" w:hanging="440"/>
      </w:pPr>
      <w:rPr>
        <w:rFonts w:hint="default" w:ascii="Wingdings" w:hAnsi="Wingdings"/>
      </w:rPr>
    </w:lvl>
    <w:lvl w:ilvl="1" w:tplc="0409000B">
      <w:numFmt w:val="bullet"/>
      <w:lvlText w:val=""/>
      <w:lvlJc w:val="left"/>
      <w:pPr>
        <w:ind w:left="1084" w:hanging="440"/>
      </w:pPr>
      <w:rPr>
        <w:rFonts w:hint="default" w:ascii="Wingdings" w:hAnsi="Wingdings"/>
      </w:rPr>
    </w:lvl>
    <w:lvl w:ilvl="2" w:tplc="0409000D">
      <w:numFmt w:val="bullet"/>
      <w:lvlText w:val=""/>
      <w:lvlJc w:val="left"/>
      <w:pPr>
        <w:ind w:left="1524" w:hanging="440"/>
      </w:pPr>
      <w:rPr>
        <w:rFonts w:hint="default" w:ascii="Wingdings" w:hAnsi="Wingdings"/>
      </w:rPr>
    </w:lvl>
    <w:lvl w:ilvl="3" w:tplc="04090001">
      <w:numFmt w:val="bullet"/>
      <w:lvlText w:val=""/>
      <w:lvlJc w:val="left"/>
      <w:pPr>
        <w:ind w:left="1964" w:hanging="440"/>
      </w:pPr>
      <w:rPr>
        <w:rFonts w:hint="default" w:ascii="Wingdings" w:hAnsi="Wingdings"/>
      </w:rPr>
    </w:lvl>
    <w:lvl w:ilvl="4" w:tplc="0409000B">
      <w:numFmt w:val="bullet"/>
      <w:lvlText w:val=""/>
      <w:lvlJc w:val="left"/>
      <w:pPr>
        <w:ind w:left="2404" w:hanging="440"/>
      </w:pPr>
      <w:rPr>
        <w:rFonts w:hint="default" w:ascii="Wingdings" w:hAnsi="Wingdings"/>
      </w:rPr>
    </w:lvl>
    <w:lvl w:ilvl="5" w:tplc="0409000D">
      <w:numFmt w:val="bullet"/>
      <w:lvlText w:val=""/>
      <w:lvlJc w:val="left"/>
      <w:pPr>
        <w:ind w:left="2844" w:hanging="440"/>
      </w:pPr>
      <w:rPr>
        <w:rFonts w:hint="default" w:ascii="Wingdings" w:hAnsi="Wingdings"/>
      </w:rPr>
    </w:lvl>
    <w:lvl w:ilvl="6" w:tplc="04090001">
      <w:numFmt w:val="bullet"/>
      <w:lvlText w:val=""/>
      <w:lvlJc w:val="left"/>
      <w:pPr>
        <w:ind w:left="3284" w:hanging="440"/>
      </w:pPr>
      <w:rPr>
        <w:rFonts w:hint="default" w:ascii="Wingdings" w:hAnsi="Wingdings"/>
      </w:rPr>
    </w:lvl>
    <w:lvl w:ilvl="7" w:tplc="0409000B">
      <w:numFmt w:val="bullet"/>
      <w:lvlText w:val=""/>
      <w:lvlJc w:val="left"/>
      <w:pPr>
        <w:ind w:left="3724" w:hanging="440"/>
      </w:pPr>
      <w:rPr>
        <w:rFonts w:hint="default" w:ascii="Wingdings" w:hAnsi="Wingdings"/>
      </w:rPr>
    </w:lvl>
    <w:lvl w:ilvl="8" w:tplc="0409000D">
      <w:numFmt w:val="bullet"/>
      <w:lvlText w:val=""/>
      <w:lvlJc w:val="left"/>
      <w:pPr>
        <w:ind w:left="4164" w:hanging="440"/>
      </w:pPr>
      <w:rPr>
        <w:rFonts w:hint="default" w:ascii="Wingdings" w:hAnsi="Wingdings"/>
      </w:rPr>
    </w:lvl>
  </w:abstractNum>
  <w:abstractNum w:abstractNumId="3">
    <w:nsid w:val="00000004"/>
    <w:multiLevelType w:val="hybridMultilevel"/>
    <w:tmpl w:val="43A20DDA"/>
    <w:lvl w:ilvl="0" w:tplc="7AE4D8A4">
      <w:numFmt w:val="bullet"/>
      <w:lvlText w:val=""/>
      <w:lvlJc w:val="left"/>
      <w:pPr>
        <w:ind w:left="880" w:hanging="440"/>
      </w:pPr>
      <w:rPr>
        <w:rFonts w:hint="default" w:ascii="Wingdings" w:hAnsi="Wingdings"/>
      </w:rPr>
    </w:lvl>
    <w:lvl w:ilvl="1" w:tplc="0409000B">
      <w:numFmt w:val="bullet"/>
      <w:lvlText w:val=""/>
      <w:lvlJc w:val="left"/>
      <w:pPr>
        <w:ind w:left="1320" w:hanging="440"/>
      </w:pPr>
      <w:rPr>
        <w:rFonts w:hint="default" w:ascii="Wingdings" w:hAnsi="Wingdings"/>
      </w:rPr>
    </w:lvl>
    <w:lvl w:ilvl="2" w:tplc="0409000D">
      <w:numFmt w:val="bullet"/>
      <w:lvlText w:val=""/>
      <w:lvlJc w:val="left"/>
      <w:pPr>
        <w:ind w:left="1760" w:hanging="440"/>
      </w:pPr>
      <w:rPr>
        <w:rFonts w:hint="default" w:ascii="Wingdings" w:hAnsi="Wingdings"/>
      </w:rPr>
    </w:lvl>
    <w:lvl w:ilvl="3" w:tplc="04090001">
      <w:numFmt w:val="bullet"/>
      <w:lvlText w:val=""/>
      <w:lvlJc w:val="left"/>
      <w:pPr>
        <w:ind w:left="2200" w:hanging="440"/>
      </w:pPr>
      <w:rPr>
        <w:rFonts w:hint="default" w:ascii="Wingdings" w:hAnsi="Wingdings"/>
      </w:rPr>
    </w:lvl>
    <w:lvl w:ilvl="4" w:tplc="0409000B">
      <w:numFmt w:val="bullet"/>
      <w:lvlText w:val=""/>
      <w:lvlJc w:val="left"/>
      <w:pPr>
        <w:ind w:left="2640" w:hanging="440"/>
      </w:pPr>
      <w:rPr>
        <w:rFonts w:hint="default" w:ascii="Wingdings" w:hAnsi="Wingdings"/>
      </w:rPr>
    </w:lvl>
    <w:lvl w:ilvl="5" w:tplc="0409000D">
      <w:numFmt w:val="bullet"/>
      <w:lvlText w:val=""/>
      <w:lvlJc w:val="left"/>
      <w:pPr>
        <w:ind w:left="3080" w:hanging="440"/>
      </w:pPr>
      <w:rPr>
        <w:rFonts w:hint="default" w:ascii="Wingdings" w:hAnsi="Wingdings"/>
      </w:rPr>
    </w:lvl>
    <w:lvl w:ilvl="6" w:tplc="04090001">
      <w:numFmt w:val="bullet"/>
      <w:lvlText w:val=""/>
      <w:lvlJc w:val="left"/>
      <w:pPr>
        <w:ind w:left="3520" w:hanging="440"/>
      </w:pPr>
      <w:rPr>
        <w:rFonts w:hint="default" w:ascii="Wingdings" w:hAnsi="Wingdings"/>
      </w:rPr>
    </w:lvl>
    <w:lvl w:ilvl="7" w:tplc="0409000B">
      <w:numFmt w:val="bullet"/>
      <w:lvlText w:val=""/>
      <w:lvlJc w:val="left"/>
      <w:pPr>
        <w:ind w:left="3960" w:hanging="440"/>
      </w:pPr>
      <w:rPr>
        <w:rFonts w:hint="default" w:ascii="Wingdings" w:hAnsi="Wingdings"/>
      </w:rPr>
    </w:lvl>
    <w:lvl w:ilvl="8" w:tplc="0409000D">
      <w:numFmt w:val="bullet"/>
      <w:lvlText w:val=""/>
      <w:lvlJc w:val="left"/>
      <w:pPr>
        <w:ind w:left="4400" w:hanging="440"/>
      </w:pPr>
      <w:rPr>
        <w:rFonts w:hint="default"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40"/>
  <w:bordersDoNotSurroundHeader/>
  <w:bordersDoNotSurroundFooter/>
  <w:trackRevisions/>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Revision"/>
    <w:next w:val="20"/>
    <w:link w:val="0"/>
    <w:uiPriority w:val="0"/>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Balloon Text"/>
    <w:basedOn w:val="0"/>
    <w:next w:val="26"/>
    <w:link w:val="0"/>
    <w:uiPriority w:val="0"/>
    <w:semiHidden/>
    <w:rPr>
      <w:rFonts w:asciiTheme="majorHAnsi" w:hAnsiTheme="majorHAnsi" w:eastAsiaTheme="majorEastAsia"/>
      <w:sz w:val="18"/>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5</Pages>
  <Words>42</Words>
  <Characters>3141</Characters>
  <Application>JUST Note</Application>
  <Lines>121</Lines>
  <Paragraphs>44</Paragraphs>
  <CharactersWithSpaces>3158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L2505026</dc:creator>
  <cp:lastModifiedBy>L6009</cp:lastModifiedBy>
  <dcterms:created xsi:type="dcterms:W3CDTF">2026-05-15T05:45:00Z</dcterms:created>
  <dcterms:modified xsi:type="dcterms:W3CDTF">2026-09-02T02:49:42Z</dcterms:modified>
  <cp:revision>4</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0x01010028F50DB9F762D0438955CB71DB0E86AB</vt:lpwstr>
  </property>
</Properties>
</file>